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#11</w:t>
      </w:r>
      <w:r>
        <w:rPr>
          <w:rFonts w:hint="eastAsia" w:eastAsia="宋体"/>
          <w:lang w:val="en-US" w:eastAsia="zh-CN"/>
        </w:rPr>
        <w:t>9b-e                      R2-2209751</w:t>
      </w:r>
    </w:p>
    <w:p>
      <w:pPr>
        <w:pStyle w:val="8"/>
        <w:rPr>
          <w:lang w:val="en-GB"/>
        </w:rPr>
      </w:pPr>
      <w:r>
        <w:rPr>
          <w:b/>
          <w:bCs/>
          <w:sz w:val="24"/>
        </w:rPr>
        <w:t>Electronic</w:t>
      </w:r>
      <w:r>
        <w:rPr>
          <w:lang w:val="en-GB"/>
        </w:rPr>
        <w:t xml:space="preserve">, </w:t>
      </w:r>
      <w:r>
        <w:rPr>
          <w:rFonts w:hint="eastAsia" w:eastAsia="宋体"/>
          <w:lang w:val="en-US" w:eastAsia="zh-CN"/>
        </w:rPr>
        <w:t>Oct</w:t>
      </w:r>
      <w:r>
        <w:t xml:space="preserve"> </w:t>
      </w:r>
      <w:r>
        <w:rPr>
          <w:rFonts w:hint="eastAsia" w:eastAsia="宋体"/>
          <w:lang w:val="en-US" w:eastAsia="zh-CN"/>
        </w:rPr>
        <w:t>10</w:t>
      </w:r>
      <w:r>
        <w:rPr>
          <w:vertAlign w:val="superscript"/>
        </w:rPr>
        <w:t>th</w:t>
      </w:r>
      <w:r>
        <w:rPr>
          <w:b/>
          <w:bCs/>
          <w:sz w:val="24"/>
          <w:vertAlign w:val="superscript"/>
        </w:rPr>
        <w:t xml:space="preserve"> </w:t>
      </w:r>
      <w:r>
        <w:rPr>
          <w:b/>
          <w:bCs/>
          <w:sz w:val="24"/>
        </w:rPr>
        <w:t xml:space="preserve">– </w:t>
      </w:r>
      <w:r>
        <w:rPr>
          <w:rFonts w:hint="eastAsia" w:eastAsia="宋体"/>
          <w:b/>
          <w:bCs/>
          <w:sz w:val="24"/>
          <w:lang w:val="en-US" w:eastAsia="zh-CN"/>
        </w:rPr>
        <w:t>Oct</w:t>
      </w:r>
      <w:r>
        <w:t xml:space="preserve"> </w:t>
      </w:r>
      <w:r>
        <w:rPr>
          <w:rFonts w:hint="eastAsia" w:eastAsia="宋体"/>
          <w:lang w:val="en-US" w:eastAsia="zh-CN"/>
        </w:rPr>
        <w:t>19</w:t>
      </w:r>
      <w:r>
        <w:rPr>
          <w:vertAlign w:val="superscript"/>
        </w:rPr>
        <w:t>th</w:t>
      </w:r>
      <w:r>
        <w:rPr>
          <w:lang w:val="en-GB"/>
        </w:rPr>
        <w:t>, 2022</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8.6.3</w:t>
      </w:r>
      <w:bookmarkStart w:id="4" w:name="_GoBack"/>
      <w:bookmarkEnd w:id="4"/>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bookmarkStart w:id="0" w:name="OLE_LINK6"/>
      <w:r>
        <w:rPr>
          <w:rFonts w:cs="Arial"/>
          <w:b/>
          <w:bCs/>
          <w:sz w:val="24"/>
          <w:lang w:val="en-US" w:eastAsia="en-US"/>
        </w:rPr>
        <w:t>Discussion on</w:t>
      </w:r>
      <w:bookmarkEnd w:id="0"/>
      <w:r>
        <w:rPr>
          <w:rFonts w:hint="eastAsia" w:eastAsia="宋体" w:cs="Arial"/>
          <w:b/>
          <w:bCs/>
          <w:sz w:val="24"/>
          <w:lang w:val="en-US" w:eastAsia="zh-CN"/>
        </w:rPr>
        <w:t xml:space="preserve"> mobility enhancement for IoT NTN </w:t>
      </w:r>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r>
        <w:rPr>
          <w:rFonts w:hint="eastAsia" w:eastAsia="宋体" w:cs="Arial"/>
          <w:b/>
          <w:bCs/>
          <w:sz w:val="24"/>
          <w:lang w:val="en-US" w:eastAsia="zh-CN"/>
        </w:rPr>
        <w:t xml:space="preserve"> </w:t>
      </w:r>
    </w:p>
    <w:p>
      <w:pPr>
        <w:pStyle w:val="2"/>
        <w:numPr>
          <w:ilvl w:val="0"/>
          <w:numId w:val="3"/>
        </w:numPr>
      </w:pPr>
      <w:bookmarkStart w:id="1" w:name="_Ref488331639"/>
      <w:r>
        <w:t>Introduction</w:t>
      </w:r>
      <w:bookmarkEnd w:id="1"/>
    </w:p>
    <w:p>
      <w:pPr>
        <w:keepNext w:val="0"/>
        <w:keepLines w:val="0"/>
        <w:pageBreakBefore w:val="0"/>
        <w:widowControl/>
        <w:kinsoku/>
        <w:wordWrap/>
        <w:overflowPunct/>
        <w:topLinePunct w:val="0"/>
        <w:autoSpaceDE/>
        <w:autoSpaceDN/>
        <w:bidi w:val="0"/>
        <w:adjustRightInd/>
        <w:snapToGrid/>
        <w:spacing w:after="157" w:afterLines="50"/>
        <w:textAlignment w:val="auto"/>
        <w:rPr>
          <w:rFonts w:hint="default" w:ascii="Times New Roman" w:hAnsi="Times New Roman" w:eastAsia="宋体" w:cs="Times New Roman"/>
          <w:sz w:val="22"/>
          <w:szCs w:val="22"/>
          <w:lang w:val="en-US" w:eastAsia="zh-CN"/>
        </w:rPr>
      </w:pPr>
      <w:r>
        <w:rPr>
          <w:rFonts w:hint="default" w:ascii="Times New Roman" w:hAnsi="Times New Roman" w:eastAsia="MS Mincho" w:cs="Times New Roman"/>
          <w:sz w:val="22"/>
          <w:szCs w:val="22"/>
        </w:rPr>
        <w:t>In the last RAN2 meeting, the performance enhancements was discussed, and it has already agreed with the agreements mentioned in the table below:</w:t>
      </w:r>
      <w:r>
        <w:rPr>
          <w:rFonts w:hint="eastAsia" w:ascii="Times New Roman" w:hAnsi="Times New Roman" w:eastAsia="宋体" w:cs="Times New Roman"/>
          <w:sz w:val="22"/>
          <w:szCs w:val="22"/>
          <w:lang w:val="en-US" w:eastAsia="zh-CN"/>
        </w:rPr>
        <w:t xml:space="preserve"> [1]</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pStyle w:val="20"/>
              <w:keepNext w:val="0"/>
              <w:keepLines w:val="0"/>
              <w:widowControl w:val="0"/>
              <w:suppressLineNumbers w:val="0"/>
              <w:spacing w:beforeAutospacing="0" w:after="0" w:afterAutospacing="0"/>
              <w:ind w:left="0" w:leftChars="0" w:right="0" w:firstLine="0" w:firstLineChars="0"/>
              <w:jc w:val="both"/>
              <w:rPr>
                <w:rFonts w:hint="default" w:ascii="Times New Roman" w:hAnsi="Times New Roman" w:cs="Times New Roman"/>
                <w:sz w:val="21"/>
              </w:rPr>
            </w:pPr>
            <w:r>
              <w:rPr>
                <w:rFonts w:hint="default" w:ascii="Times New Roman" w:hAnsi="Times New Roman" w:cs="Times New Roman"/>
                <w:sz w:val="21"/>
              </w:rPr>
              <w:t>Agreements:</w:t>
            </w:r>
          </w:p>
          <w:p>
            <w:pPr>
              <w:pStyle w:val="20"/>
              <w:keepNext w:val="0"/>
              <w:keepLines w:val="0"/>
              <w:widowControl w:val="0"/>
              <w:numPr>
                <w:ilvl w:val="0"/>
                <w:numId w:val="4"/>
              </w:numPr>
              <w:suppressLineNumbers w:val="0"/>
              <w:spacing w:beforeAutospacing="0" w:after="0" w:afterAutospacing="0"/>
              <w:ind w:left="425" w:leftChars="0" w:right="0" w:hanging="425" w:firstLineChars="0"/>
              <w:jc w:val="both"/>
              <w:rPr>
                <w:rFonts w:hint="default" w:ascii="Times New Roman" w:hAnsi="Times New Roman" w:cs="Times New Roman"/>
                <w:sz w:val="21"/>
              </w:rPr>
            </w:pPr>
            <w:r>
              <w:rPr>
                <w:rFonts w:hint="default" w:ascii="Times New Roman" w:hAnsi="Times New Roman" w:cs="Times New Roman"/>
                <w:sz w:val="21"/>
              </w:rPr>
              <w:t>IoT NTN can use the mechanism for neighbour cell measurements in connected mode (specified in Rel-17 for NB-IoT). FFS if any enhancements are needed (e.g. triggers) for both NB-IoT and eMTC.</w:t>
            </w:r>
          </w:p>
          <w:p>
            <w:pPr>
              <w:pStyle w:val="20"/>
              <w:keepNext w:val="0"/>
              <w:keepLines w:val="0"/>
              <w:widowControl w:val="0"/>
              <w:numPr>
                <w:ilvl w:val="0"/>
                <w:numId w:val="4"/>
              </w:numPr>
              <w:suppressLineNumbers w:val="0"/>
              <w:spacing w:beforeAutospacing="0" w:after="0" w:afterAutospacing="0"/>
              <w:ind w:left="425" w:leftChars="0" w:right="0" w:hanging="425" w:firstLineChars="0"/>
              <w:jc w:val="both"/>
              <w:rPr>
                <w:rFonts w:hint="default" w:ascii="Times New Roman" w:hAnsi="Times New Roman" w:cs="Times New Roman"/>
                <w:sz w:val="21"/>
                <w:highlight w:val="none"/>
              </w:rPr>
            </w:pPr>
            <w:r>
              <w:rPr>
                <w:rFonts w:hint="default" w:ascii="Times New Roman" w:hAnsi="Times New Roman" w:cs="Times New Roman"/>
                <w:sz w:val="21"/>
              </w:rPr>
              <w:t>RAN2 to continue working on a new time-based trigger for triggering intra and inter frequency measurements in connected mode, e.g. the serving cell is going to stop covering the current area, for both earth-moving and earth-fixed cel</w:t>
            </w:r>
            <w:r>
              <w:rPr>
                <w:rFonts w:hint="default" w:ascii="Times New Roman" w:hAnsi="Times New Roman" w:cs="Times New Roman"/>
                <w:sz w:val="21"/>
                <w:highlight w:val="none"/>
              </w:rPr>
              <w:t>l (FFS on distance-based trigger)</w:t>
            </w:r>
          </w:p>
          <w:p>
            <w:pPr>
              <w:pStyle w:val="20"/>
              <w:keepNext w:val="0"/>
              <w:keepLines w:val="0"/>
              <w:widowControl w:val="0"/>
              <w:numPr>
                <w:ilvl w:val="0"/>
                <w:numId w:val="4"/>
              </w:numPr>
              <w:suppressLineNumbers w:val="0"/>
              <w:spacing w:beforeAutospacing="0" w:after="0" w:afterAutospacing="0"/>
              <w:ind w:left="425" w:leftChars="0" w:right="0" w:hanging="425" w:firstLineChars="0"/>
              <w:jc w:val="both"/>
              <w:rPr>
                <w:rFonts w:hint="default" w:ascii="Times New Roman" w:hAnsi="Times New Roman" w:cs="Times New Roman"/>
                <w:sz w:val="21"/>
              </w:rPr>
            </w:pPr>
            <w:r>
              <w:rPr>
                <w:rFonts w:hint="default" w:ascii="Times New Roman" w:hAnsi="Times New Roman" w:cs="Times New Roman"/>
                <w:sz w:val="21"/>
              </w:rPr>
              <w:t>CHO enhancements for eMTC NTN (i.e. time/timer based solution) are introduced based on the R17 NR NTN solution. FFS on location-based solution</w:t>
            </w:r>
            <w:r>
              <w:rPr>
                <w:rFonts w:hint="eastAsia" w:ascii="Times New Roman" w:hAnsi="Times New Roman" w:eastAsia="宋体" w:cs="Times New Roman"/>
                <w:sz w:val="21"/>
                <w:lang w:val="en-US" w:eastAsia="zh-CN"/>
              </w:rPr>
              <w:t>.</w:t>
            </w:r>
          </w:p>
          <w:p>
            <w:pPr>
              <w:pStyle w:val="20"/>
              <w:keepNext w:val="0"/>
              <w:keepLines w:val="0"/>
              <w:widowControl w:val="0"/>
              <w:numPr>
                <w:ilvl w:val="0"/>
                <w:numId w:val="4"/>
              </w:numPr>
              <w:suppressLineNumbers w:val="0"/>
              <w:spacing w:beforeAutospacing="0" w:after="0" w:afterAutospacing="0"/>
              <w:ind w:left="425" w:leftChars="0" w:right="0" w:hanging="425" w:firstLineChars="0"/>
              <w:jc w:val="both"/>
              <w:rPr>
                <w:rFonts w:hint="default" w:ascii="Times New Roman" w:hAnsi="Times New Roman" w:cs="Times New Roman"/>
                <w:sz w:val="21"/>
              </w:rPr>
            </w:pPr>
            <w:r>
              <w:rPr>
                <w:rFonts w:hint="default" w:ascii="Times New Roman" w:hAnsi="Times New Roman" w:cs="Times New Roman"/>
                <w:sz w:val="21"/>
              </w:rPr>
              <w:t>Measurement results reporting is not supported in Rel-18 NB-IoT NTN.</w:t>
            </w:r>
          </w:p>
          <w:p>
            <w:pPr>
              <w:pStyle w:val="20"/>
              <w:keepNext w:val="0"/>
              <w:keepLines w:val="0"/>
              <w:widowControl w:val="0"/>
              <w:suppressLineNumbers w:val="0"/>
              <w:spacing w:beforeAutospacing="0" w:after="0" w:afterAutospacing="0"/>
              <w:ind w:left="684" w:leftChars="342" w:right="0" w:firstLine="123" w:firstLineChars="59"/>
              <w:jc w:val="both"/>
              <w:rPr>
                <w:rFonts w:hint="eastAsia"/>
                <w:sz w:val="21"/>
              </w:rPr>
            </w:pPr>
          </w:p>
        </w:tc>
      </w:tr>
    </w:tbl>
    <w:p>
      <w:pPr>
        <w:pStyle w:val="6"/>
        <w:spacing w:before="120" w:beforeLines="50"/>
        <w:rPr>
          <w:rFonts w:hint="default" w:ascii="Times New Roman" w:hAnsi="Times New Roman" w:eastAsia="宋体" w:cs="Times New Roman"/>
          <w:lang w:val="en-US" w:eastAsia="zh-CN"/>
        </w:rPr>
      </w:pPr>
      <w:r>
        <w:rPr>
          <w:rFonts w:hint="default" w:ascii="Times New Roman" w:hAnsi="Times New Roman" w:cs="Times New Roman"/>
        </w:rPr>
        <w:t>In this contribution</w:t>
      </w:r>
      <w:r>
        <w:rPr>
          <w:rFonts w:hint="default" w:ascii="Times New Roman" w:hAnsi="Times New Roman" w:eastAsia="宋体" w:cs="Times New Roman"/>
          <w:lang w:val="en-US" w:eastAsia="zh-CN"/>
        </w:rPr>
        <w:t>, w</w:t>
      </w:r>
      <w:r>
        <w:rPr>
          <w:rFonts w:hint="default" w:ascii="Times New Roman" w:hAnsi="Times New Roman" w:cs="Times New Roman"/>
        </w:rPr>
        <w:t xml:space="preserve">e provide our views on </w:t>
      </w:r>
      <w:r>
        <w:rPr>
          <w:rFonts w:hint="eastAsia" w:ascii="Times New Roman" w:hAnsi="Times New Roman" w:eastAsia="宋体" w:cs="Times New Roman"/>
          <w:lang w:val="en-US" w:eastAsia="zh-CN"/>
        </w:rPr>
        <w:t>m</w:t>
      </w:r>
      <w:r>
        <w:rPr>
          <w:rFonts w:hint="default" w:ascii="Times New Roman" w:hAnsi="Times New Roman" w:cs="Times New Roman"/>
          <w:sz w:val="20"/>
        </w:rPr>
        <w:t xml:space="preserve">obility </w:t>
      </w:r>
      <w:r>
        <w:rPr>
          <w:rFonts w:hint="eastAsia" w:ascii="Times New Roman" w:hAnsi="Times New Roman" w:eastAsia="宋体" w:cs="Times New Roman"/>
          <w:sz w:val="20"/>
          <w:lang w:val="en-US" w:eastAsia="zh-CN"/>
        </w:rPr>
        <w:t>e</w:t>
      </w:r>
      <w:r>
        <w:rPr>
          <w:rFonts w:hint="default" w:ascii="Times New Roman" w:hAnsi="Times New Roman" w:cs="Times New Roman"/>
          <w:sz w:val="20"/>
        </w:rPr>
        <w:t>nhancement</w:t>
      </w:r>
      <w:r>
        <w:rPr>
          <w:rFonts w:hint="default" w:ascii="Times New Roman" w:hAnsi="Times New Roman" w:eastAsia="宋体" w:cs="Times New Roman"/>
          <w:sz w:val="20"/>
          <w:lang w:val="en-US" w:eastAsia="zh-CN"/>
        </w:rPr>
        <w:t xml:space="preserve"> </w:t>
      </w:r>
      <w:r>
        <w:rPr>
          <w:rFonts w:hint="default" w:ascii="Times New Roman" w:hAnsi="Times New Roman" w:cs="Times New Roman"/>
        </w:rPr>
        <w:t xml:space="preserve">to proceed the </w:t>
      </w:r>
      <w:r>
        <w:rPr>
          <w:rFonts w:hint="default" w:ascii="Times New Roman" w:hAnsi="Times New Roman" w:eastAsia="宋体" w:cs="Times New Roman"/>
          <w:lang w:val="en-US" w:eastAsia="zh-CN"/>
        </w:rPr>
        <w:t>work item.</w:t>
      </w:r>
    </w:p>
    <w:p>
      <w:pPr>
        <w:pStyle w:val="2"/>
        <w:numPr>
          <w:ilvl w:val="0"/>
          <w:numId w:val="3"/>
        </w:numPr>
        <w:ind w:left="360" w:leftChars="0" w:hanging="360" w:firstLineChars="0"/>
      </w:pPr>
      <w:r>
        <w:t>Discussion</w:t>
      </w:r>
    </w:p>
    <w:p>
      <w:pPr>
        <w:pStyle w:val="3"/>
        <w:numPr>
          <w:ilvl w:val="0"/>
          <w:numId w:val="0"/>
        </w:numPr>
        <w:bidi w:val="0"/>
        <w:ind w:leftChars="0"/>
        <w:rPr>
          <w:rFonts w:hint="default" w:eastAsia="宋体"/>
          <w:lang w:val="en-US" w:eastAsia="zh-CN"/>
        </w:rPr>
      </w:pPr>
      <w:r>
        <w:rPr>
          <w:rFonts w:hint="eastAsia"/>
          <w:lang w:val="en-US" w:eastAsia="zh-CN"/>
        </w:rPr>
        <w:t xml:space="preserve">2.1 </w:t>
      </w:r>
      <w:r>
        <w:t>Mobility Enhancements</w:t>
      </w:r>
    </w:p>
    <w:p>
      <w:pPr>
        <w:jc w:val="both"/>
        <w:rPr>
          <w:rFonts w:hint="eastAsia" w:ascii="Times New Roman" w:hAnsi="Times New Roman"/>
          <w:sz w:val="20"/>
          <w:szCs w:val="20"/>
          <w:lang w:val="en-US" w:eastAsia="zh-CN"/>
        </w:rPr>
      </w:pPr>
      <w:r>
        <w:rPr>
          <w:rFonts w:hint="eastAsia" w:ascii="Times New Roman" w:hAnsi="Times New Roman"/>
          <w:sz w:val="20"/>
          <w:szCs w:val="20"/>
          <w:lang w:val="en-GB"/>
        </w:rPr>
        <w:t>For</w:t>
      </w:r>
      <w:r>
        <w:rPr>
          <w:rFonts w:ascii="Times New Roman" w:hAnsi="Times New Roman"/>
          <w:sz w:val="20"/>
          <w:szCs w:val="20"/>
          <w:lang w:val="en-GB"/>
        </w:rPr>
        <w:t xml:space="preserve"> </w:t>
      </w:r>
      <w:r>
        <w:rPr>
          <w:rFonts w:hint="eastAsia" w:ascii="Times New Roman" w:hAnsi="Times New Roman"/>
          <w:sz w:val="20"/>
          <w:szCs w:val="20"/>
          <w:lang w:val="en-GB"/>
        </w:rPr>
        <w:t>N</w:t>
      </w:r>
      <w:r>
        <w:rPr>
          <w:rFonts w:ascii="Times New Roman" w:hAnsi="Times New Roman"/>
          <w:sz w:val="20"/>
          <w:szCs w:val="20"/>
          <w:lang w:val="en-GB"/>
        </w:rPr>
        <w:t>B-I</w:t>
      </w:r>
      <w:r>
        <w:rPr>
          <w:rFonts w:hint="eastAsia" w:ascii="Times New Roman" w:hAnsi="Times New Roman" w:eastAsia="宋体"/>
          <w:sz w:val="20"/>
          <w:szCs w:val="20"/>
          <w:lang w:val="en-US" w:eastAsia="zh-CN"/>
        </w:rPr>
        <w:t>o</w:t>
      </w:r>
      <w:r>
        <w:rPr>
          <w:rFonts w:hint="eastAsia" w:ascii="Times New Roman" w:hAnsi="Times New Roman"/>
          <w:sz w:val="20"/>
          <w:szCs w:val="20"/>
          <w:lang w:val="en-GB"/>
        </w:rPr>
        <w:t>T</w:t>
      </w:r>
      <w:r>
        <w:rPr>
          <w:rFonts w:ascii="Times New Roman" w:hAnsi="Times New Roman"/>
          <w:sz w:val="20"/>
          <w:szCs w:val="20"/>
          <w:lang w:val="en-GB"/>
        </w:rPr>
        <w:t xml:space="preserve"> UE</w:t>
      </w:r>
      <w:r>
        <w:rPr>
          <w:rFonts w:hint="eastAsia" w:ascii="Times New Roman" w:hAnsi="Times New Roman" w:eastAsia="宋体"/>
          <w:sz w:val="20"/>
          <w:szCs w:val="20"/>
          <w:lang w:val="en-US" w:eastAsia="zh-CN"/>
        </w:rPr>
        <w:t>s</w:t>
      </w:r>
      <w:r>
        <w:rPr>
          <w:rFonts w:ascii="Times New Roman" w:hAnsi="Times New Roman"/>
          <w:sz w:val="20"/>
          <w:szCs w:val="20"/>
          <w:lang w:val="en-GB"/>
        </w:rPr>
        <w:t>, considering UE power saving, there is no measurement configuration and measurement report procedure for UE in connected mode, the UE could trigger the RRC connection re-establishment procedure</w:t>
      </w:r>
      <w:r>
        <w:rPr>
          <w:rFonts w:hint="eastAsia" w:ascii="Times New Roman" w:hAnsi="Times New Roman" w:eastAsia="宋体"/>
          <w:sz w:val="20"/>
          <w:szCs w:val="20"/>
          <w:lang w:val="en-US" w:eastAsia="zh-CN"/>
        </w:rPr>
        <w:t xml:space="preserve"> for connected mode</w:t>
      </w:r>
      <w:r>
        <w:rPr>
          <w:rFonts w:hint="eastAsia" w:ascii="Times New Roman" w:hAnsi="Times New Roman"/>
          <w:sz w:val="20"/>
          <w:szCs w:val="20"/>
          <w:lang w:val="en-US" w:eastAsia="zh-CN"/>
        </w:rPr>
        <w:t xml:space="preserve"> mobility</w:t>
      </w:r>
      <w:r>
        <w:rPr>
          <w:rFonts w:ascii="Times New Roman" w:hAnsi="Times New Roman"/>
          <w:sz w:val="20"/>
          <w:szCs w:val="20"/>
          <w:lang w:val="en-GB"/>
        </w:rPr>
        <w:t>.</w:t>
      </w:r>
      <w:r>
        <w:rPr>
          <w:rFonts w:hint="eastAsia" w:ascii="Times New Roman" w:hAnsi="Times New Roman"/>
          <w:sz w:val="20"/>
          <w:szCs w:val="20"/>
          <w:lang w:val="en-US" w:eastAsia="zh-CN"/>
        </w:rPr>
        <w:t xml:space="preserve"> In order to </w:t>
      </w:r>
      <w:r>
        <w:rPr>
          <w:rFonts w:ascii="Times New Roman" w:hAnsi="Times New Roman"/>
          <w:sz w:val="20"/>
          <w:szCs w:val="20"/>
          <w:lang w:val="en-GB" w:eastAsia="zh-CN"/>
        </w:rPr>
        <w:t xml:space="preserve">reduce the time </w:t>
      </w:r>
      <w:r>
        <w:rPr>
          <w:rFonts w:hint="eastAsia" w:ascii="Times New Roman" w:hAnsi="Times New Roman"/>
          <w:sz w:val="20"/>
          <w:szCs w:val="20"/>
          <w:lang w:val="en-US" w:eastAsia="zh-CN"/>
        </w:rPr>
        <w:t>required</w:t>
      </w:r>
      <w:r>
        <w:rPr>
          <w:rFonts w:ascii="Times New Roman" w:hAnsi="Times New Roman"/>
          <w:sz w:val="20"/>
          <w:szCs w:val="20"/>
          <w:lang w:val="en-GB" w:eastAsia="zh-CN"/>
        </w:rPr>
        <w:t xml:space="preserve"> for RRC reestablishment</w:t>
      </w:r>
      <w:r>
        <w:rPr>
          <w:rFonts w:hint="eastAsia" w:ascii="Times New Roman" w:hAnsi="Times New Roman"/>
          <w:sz w:val="20"/>
          <w:szCs w:val="20"/>
          <w:lang w:val="en-US" w:eastAsia="zh-CN"/>
        </w:rPr>
        <w:t xml:space="preserve">, the feature of supporting </w:t>
      </w:r>
      <w:r>
        <w:rPr>
          <w:rFonts w:ascii="Times New Roman" w:hAnsi="Times New Roman"/>
          <w:sz w:val="20"/>
          <w:szCs w:val="20"/>
          <w:lang w:val="en-GB"/>
        </w:rPr>
        <w:t>neighbor cell measurements and corresponding measurement triggering before RLF</w:t>
      </w:r>
      <w:r>
        <w:rPr>
          <w:rFonts w:hint="eastAsia" w:ascii="Times New Roman" w:hAnsi="Times New Roman"/>
          <w:sz w:val="20"/>
          <w:szCs w:val="20"/>
          <w:lang w:val="en-US" w:eastAsia="zh-CN"/>
        </w:rPr>
        <w:t xml:space="preserve"> has been introduced in R17 </w:t>
      </w:r>
      <w:r>
        <w:rPr>
          <w:rFonts w:ascii="Times New Roman" w:hAnsi="Times New Roman"/>
          <w:sz w:val="20"/>
          <w:szCs w:val="20"/>
          <w:lang w:val="en-GB"/>
        </w:rPr>
        <w:t>NB-IoT</w:t>
      </w:r>
      <w:r>
        <w:rPr>
          <w:rFonts w:hint="eastAsia" w:ascii="Times New Roman" w:hAnsi="Times New Roman"/>
          <w:sz w:val="20"/>
          <w:szCs w:val="20"/>
          <w:lang w:val="en-US" w:eastAsia="zh-CN"/>
        </w:rPr>
        <w:t xml:space="preserve">. The measurement triggering quantity is based on RSRP, which works well for the terrestrial network as </w:t>
      </w:r>
      <w:r>
        <w:rPr>
          <w:rFonts w:ascii="Times New Roman" w:hAnsi="Times New Roman"/>
          <w:sz w:val="20"/>
          <w:szCs w:val="20"/>
          <w:lang w:val="en-GB"/>
        </w:rPr>
        <w:t>a UE can determine</w:t>
      </w:r>
      <w:r>
        <w:rPr>
          <w:rFonts w:hint="eastAsia" w:ascii="Times New Roman" w:hAnsi="Times New Roman" w:eastAsia="宋体"/>
          <w:sz w:val="20"/>
          <w:szCs w:val="20"/>
          <w:lang w:val="en-US" w:eastAsia="zh-CN"/>
        </w:rPr>
        <w:t xml:space="preserve"> that</w:t>
      </w:r>
      <w:r>
        <w:rPr>
          <w:rFonts w:ascii="Times New Roman" w:hAnsi="Times New Roman"/>
          <w:sz w:val="20"/>
          <w:szCs w:val="20"/>
          <w:lang w:val="en-GB"/>
        </w:rPr>
        <w:t xml:space="preserve"> it is </w:t>
      </w:r>
      <w:r>
        <w:rPr>
          <w:rFonts w:hint="eastAsia" w:ascii="Times New Roman" w:hAnsi="Times New Roman" w:eastAsia="宋体"/>
          <w:sz w:val="20"/>
          <w:szCs w:val="20"/>
          <w:lang w:val="en-US" w:eastAsia="zh-CN"/>
        </w:rPr>
        <w:t>close to the</w:t>
      </w:r>
      <w:r>
        <w:rPr>
          <w:rFonts w:ascii="Times New Roman" w:hAnsi="Times New Roman"/>
          <w:sz w:val="20"/>
          <w:szCs w:val="20"/>
          <w:lang w:val="en-GB"/>
        </w:rPr>
        <w:t xml:space="preserve"> cell edge due </w:t>
      </w:r>
      <w:r>
        <w:rPr>
          <w:rFonts w:hint="eastAsia" w:ascii="Times New Roman" w:hAnsi="Times New Roman"/>
          <w:sz w:val="20"/>
          <w:szCs w:val="20"/>
          <w:lang w:val="en-GB" w:eastAsia="zh-CN"/>
        </w:rPr>
        <w:t xml:space="preserve">to </w:t>
      </w:r>
      <w:r>
        <w:rPr>
          <w:rFonts w:ascii="Times New Roman" w:hAnsi="Times New Roman"/>
          <w:sz w:val="20"/>
          <w:szCs w:val="20"/>
          <w:lang w:val="en-GB"/>
        </w:rPr>
        <w:t xml:space="preserve">a </w:t>
      </w:r>
      <w:r>
        <w:rPr>
          <w:rFonts w:hint="eastAsia" w:ascii="Times New Roman" w:hAnsi="Times New Roman" w:eastAsia="宋体"/>
          <w:sz w:val="20"/>
          <w:szCs w:val="20"/>
          <w:lang w:val="en-US" w:eastAsia="zh-CN"/>
        </w:rPr>
        <w:t>significant</w:t>
      </w:r>
      <w:r>
        <w:rPr>
          <w:rFonts w:ascii="Times New Roman" w:hAnsi="Times New Roman"/>
          <w:sz w:val="20"/>
          <w:szCs w:val="20"/>
          <w:lang w:val="en-GB"/>
        </w:rPr>
        <w:t xml:space="preserve"> difference in RSRP compared to cell center. </w:t>
      </w:r>
      <w:r>
        <w:rPr>
          <w:rFonts w:hint="eastAsia" w:ascii="Times New Roman" w:hAnsi="Times New Roman" w:eastAsia="宋体"/>
          <w:sz w:val="20"/>
          <w:szCs w:val="20"/>
          <w:lang w:val="en-US" w:eastAsia="zh-CN"/>
        </w:rPr>
        <w:t>However s</w:t>
      </w:r>
      <w:r>
        <w:rPr>
          <w:rFonts w:ascii="Times New Roman" w:hAnsi="Times New Roman"/>
          <w:sz w:val="20"/>
          <w:szCs w:val="20"/>
          <w:lang w:val="en-GB"/>
        </w:rPr>
        <w:t xml:space="preserve">uch an effect may not be as pronounced in non-terrestrial </w:t>
      </w:r>
      <w:r>
        <w:rPr>
          <w:rFonts w:hint="eastAsia" w:ascii="Times New Roman" w:hAnsi="Times New Roman" w:eastAsia="宋体"/>
          <w:sz w:val="20"/>
          <w:szCs w:val="20"/>
          <w:lang w:val="en-US" w:eastAsia="zh-CN"/>
        </w:rPr>
        <w:t>network</w:t>
      </w:r>
      <w:r>
        <w:rPr>
          <w:rFonts w:ascii="Times New Roman" w:hAnsi="Times New Roman"/>
          <w:sz w:val="20"/>
          <w:szCs w:val="20"/>
          <w:lang w:val="en-GB"/>
        </w:rPr>
        <w:t xml:space="preserve">, </w:t>
      </w:r>
      <w:r>
        <w:rPr>
          <w:rFonts w:hint="eastAsia" w:ascii="Times New Roman" w:hAnsi="Times New Roman" w:eastAsia="宋体"/>
          <w:sz w:val="20"/>
          <w:szCs w:val="20"/>
          <w:lang w:val="en-US" w:eastAsia="zh-CN"/>
        </w:rPr>
        <w:t>because the difference</w:t>
      </w:r>
      <w:r>
        <w:rPr>
          <w:rFonts w:ascii="Times New Roman" w:hAnsi="Times New Roman"/>
          <w:sz w:val="20"/>
          <w:szCs w:val="20"/>
          <w:lang w:val="en-GB"/>
        </w:rPr>
        <w:t xml:space="preserve"> in signal strength between</w:t>
      </w:r>
      <w:r>
        <w:rPr>
          <w:rFonts w:hint="eastAsia" w:ascii="Times New Roman" w:hAnsi="Times New Roman" w:eastAsia="宋体"/>
          <w:sz w:val="20"/>
          <w:szCs w:val="20"/>
          <w:lang w:val="en-US" w:eastAsia="zh-CN"/>
        </w:rPr>
        <w:t xml:space="preserve"> the cell edge and the cell center is small, as shown in Figu</w:t>
      </w:r>
      <w:r>
        <w:rPr>
          <w:rFonts w:hint="eastAsia" w:ascii="Times New Roman" w:hAnsi="Times New Roman"/>
          <w:sz w:val="20"/>
          <w:szCs w:val="20"/>
          <w:lang w:val="en-US" w:eastAsia="zh-CN"/>
        </w:rPr>
        <w:t>re 1</w:t>
      </w:r>
      <w:r>
        <w:rPr>
          <w:rFonts w:ascii="Times New Roman" w:hAnsi="Times New Roman"/>
          <w:sz w:val="20"/>
          <w:szCs w:val="20"/>
          <w:lang w:val="en-GB"/>
        </w:rPr>
        <w:t>.</w:t>
      </w:r>
      <w:r>
        <w:rPr>
          <w:rFonts w:hint="eastAsia" w:ascii="Times New Roman" w:hAnsi="Times New Roman"/>
          <w:sz w:val="20"/>
          <w:szCs w:val="20"/>
          <w:lang w:val="en-US" w:eastAsia="zh-CN"/>
        </w:rPr>
        <w:t xml:space="preserve"> So measurement triggering quantity of RSRP may not work well for </w:t>
      </w:r>
      <w:r>
        <w:rPr>
          <w:rFonts w:ascii="Times New Roman" w:hAnsi="Times New Roman"/>
          <w:sz w:val="20"/>
          <w:szCs w:val="20"/>
          <w:lang w:val="en-GB"/>
        </w:rPr>
        <w:t xml:space="preserve">non-terrestrial </w:t>
      </w:r>
      <w:r>
        <w:rPr>
          <w:rFonts w:hint="eastAsia" w:ascii="Times New Roman" w:hAnsi="Times New Roman"/>
          <w:sz w:val="20"/>
          <w:szCs w:val="20"/>
          <w:lang w:val="en-US" w:eastAsia="zh-CN"/>
        </w:rPr>
        <w:t xml:space="preserve">network. </w:t>
      </w:r>
    </w:p>
    <w:p>
      <w:pPr>
        <w:jc w:val="center"/>
      </w:pPr>
      <w:r>
        <w:object>
          <v:shape id="_x0000_i1025" o:spt="75" type="#_x0000_t75" style="height:145.15pt;width:245.85pt;" o:ole="t" filled="f" o:preferrelative="t" stroked="f" coordsize="21600,21600">
            <v:path/>
            <v:fill on="f" focussize="0,0"/>
            <v:stroke on="f"/>
            <v:imagedata r:id="rId5" o:title=""/>
            <o:lock v:ext="edit" aspectratio="t"/>
            <w10:wrap type="none"/>
            <w10:anchorlock/>
          </v:shape>
          <o:OLEObject Type="Embed" ProgID="Visio.Drawing.15" ShapeID="_x0000_i1025" DrawAspect="Content" ObjectID="_1468075725" r:id="rId4">
            <o:LockedField>false</o:LockedField>
          </o:OLEObject>
        </w:object>
      </w:r>
    </w:p>
    <w:p>
      <w:pPr>
        <w:jc w:val="both"/>
        <w:rPr>
          <w:rFonts w:hint="default" w:eastAsia="宋体"/>
          <w:lang w:val="en-US" w:eastAsia="zh-CN"/>
        </w:rPr>
      </w:pPr>
      <w:r>
        <w:rPr>
          <w:rFonts w:hint="eastAsia" w:eastAsia="宋体"/>
          <w:lang w:val="en-US" w:eastAsia="zh-CN"/>
        </w:rPr>
        <w:t xml:space="preserve">Figure 1 </w:t>
      </w:r>
      <w:r>
        <w:rPr>
          <w:lang w:eastAsia="zh-CN"/>
        </w:rPr>
        <w:t>A sketch of near-far effect in different scenarios: (a) Terrestrial Network; (b) NTN</w:t>
      </w:r>
    </w:p>
    <w:p>
      <w:pPr>
        <w:jc w:val="both"/>
        <w:rPr>
          <w:rFonts w:hint="eastAsia" w:ascii="Times New Roman" w:hAnsi="Times New Roman"/>
          <w:sz w:val="20"/>
          <w:szCs w:val="20"/>
          <w:lang w:val="en-US" w:eastAsia="zh-CN"/>
        </w:rPr>
      </w:pPr>
    </w:p>
    <w:p>
      <w:pPr>
        <w:pStyle w:val="17"/>
        <w:numPr>
          <w:ilvl w:val="-1"/>
          <w:numId w:val="0"/>
        </w:numPr>
        <w:spacing w:line="260" w:lineRule="auto"/>
        <w:ind w:left="1304" w:hanging="1304"/>
        <w:jc w:val="both"/>
        <w:rPr>
          <w:rFonts w:hint="eastAsia"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Observation 1 Measurement triggering quantity of RSRP may not work well for non-terrestrial network.</w:t>
      </w:r>
    </w:p>
    <w:p>
      <w:pPr>
        <w:jc w:val="both"/>
        <w:rPr>
          <w:rFonts w:hint="default" w:ascii="Times New Roman" w:hAnsi="Times New Roman"/>
          <w:sz w:val="20"/>
          <w:szCs w:val="20"/>
          <w:lang w:val="en-US" w:eastAsia="zh-CN"/>
        </w:rPr>
      </w:pPr>
    </w:p>
    <w:p>
      <w:pPr>
        <w:jc w:val="both"/>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In NTN, three types of cells are supported:</w:t>
      </w:r>
    </w:p>
    <w:p>
      <w:pPr>
        <w:pStyle w:val="20"/>
        <w:jc w:val="both"/>
        <w:rPr>
          <w:rFonts w:ascii="Times New Roman" w:hAnsi="Times New Roman" w:eastAsia="MS Mincho" w:cs="Times New Roman"/>
          <w:sz w:val="20"/>
          <w:szCs w:val="20"/>
          <w:lang w:val="en-GB" w:eastAsia="en-GB" w:bidi="ar-SA"/>
        </w:rPr>
      </w:pPr>
      <w:r>
        <w:rPr>
          <w:rFonts w:ascii="Times New Roman" w:hAnsi="Times New Roman" w:eastAsia="MS Mincho" w:cs="Times New Roman"/>
          <w:sz w:val="20"/>
          <w:szCs w:val="20"/>
          <w:lang w:val="en-GB" w:eastAsia="en-GB" w:bidi="ar-SA"/>
        </w:rPr>
        <w:t>-</w:t>
      </w:r>
      <w:r>
        <w:rPr>
          <w:rFonts w:ascii="Times New Roman" w:hAnsi="Times New Roman" w:eastAsia="MS Mincho" w:cs="Times New Roman"/>
          <w:sz w:val="20"/>
          <w:szCs w:val="20"/>
          <w:lang w:val="en-GB" w:eastAsia="en-GB" w:bidi="ar-SA"/>
        </w:rPr>
        <w:tab/>
      </w:r>
      <w:r>
        <w:rPr>
          <w:rFonts w:ascii="Times New Roman" w:hAnsi="Times New Roman" w:eastAsia="MS Mincho" w:cs="Times New Roman"/>
          <w:sz w:val="20"/>
          <w:szCs w:val="20"/>
          <w:lang w:val="en-GB" w:eastAsia="en-GB" w:bidi="ar-SA"/>
        </w:rPr>
        <w:t>Earth-fixed: provisioned by beam(s) continuously covering the same geographical areas all the time (e.g., the case of GSO satellites);</w:t>
      </w:r>
    </w:p>
    <w:p>
      <w:pPr>
        <w:pStyle w:val="20"/>
        <w:jc w:val="both"/>
        <w:rPr>
          <w:rFonts w:ascii="Times New Roman" w:hAnsi="Times New Roman" w:eastAsia="MS Mincho" w:cs="Times New Roman"/>
          <w:sz w:val="20"/>
          <w:szCs w:val="20"/>
          <w:lang w:val="en-GB" w:eastAsia="en-GB" w:bidi="ar-SA"/>
        </w:rPr>
      </w:pPr>
      <w:r>
        <w:rPr>
          <w:rFonts w:ascii="Times New Roman" w:hAnsi="Times New Roman" w:eastAsia="MS Mincho" w:cs="Times New Roman"/>
          <w:sz w:val="20"/>
          <w:szCs w:val="20"/>
          <w:lang w:val="en-GB" w:eastAsia="en-GB" w:bidi="ar-SA"/>
        </w:rPr>
        <w:t>-</w:t>
      </w:r>
      <w:r>
        <w:rPr>
          <w:rFonts w:ascii="Times New Roman" w:hAnsi="Times New Roman" w:eastAsia="MS Mincho" w:cs="Times New Roman"/>
          <w:sz w:val="20"/>
          <w:szCs w:val="20"/>
          <w:lang w:val="en-GB" w:eastAsia="en-GB" w:bidi="ar-SA"/>
        </w:rPr>
        <w:tab/>
      </w:r>
      <w:r>
        <w:rPr>
          <w:rFonts w:ascii="Times New Roman" w:hAnsi="Times New Roman" w:eastAsia="MS Mincho" w:cs="Times New Roman"/>
          <w:sz w:val="20"/>
          <w:szCs w:val="20"/>
          <w:lang w:val="en-GB" w:eastAsia="en-GB" w:bidi="ar-SA"/>
        </w:rPr>
        <w:t>Quasi-Earth-fixed: provisioned by beam(s) covering one geographic area for a limited period and a different geographic area during another period (e.g., the case of NGSO satellites generating steerable beams);</w:t>
      </w:r>
    </w:p>
    <w:p>
      <w:pPr>
        <w:pStyle w:val="20"/>
        <w:jc w:val="both"/>
        <w:rPr>
          <w:rFonts w:hint="eastAsia" w:ascii="Times New Roman" w:hAnsi="Times New Roman"/>
          <w:sz w:val="20"/>
          <w:szCs w:val="20"/>
          <w:lang w:val="en-US" w:eastAsia="zh-CN"/>
        </w:rPr>
      </w:pPr>
      <w:r>
        <w:rPr>
          <w:rFonts w:ascii="Times New Roman" w:hAnsi="Times New Roman" w:eastAsia="MS Mincho" w:cs="Times New Roman"/>
          <w:sz w:val="20"/>
          <w:szCs w:val="20"/>
          <w:lang w:val="en-GB" w:eastAsia="en-GB" w:bidi="ar-SA"/>
        </w:rPr>
        <w:t>-</w:t>
      </w:r>
      <w:r>
        <w:rPr>
          <w:rFonts w:ascii="Times New Roman" w:hAnsi="Times New Roman" w:eastAsia="MS Mincho" w:cs="Times New Roman"/>
          <w:sz w:val="20"/>
          <w:szCs w:val="20"/>
          <w:lang w:val="en-GB" w:eastAsia="en-GB" w:bidi="ar-SA"/>
        </w:rPr>
        <w:tab/>
      </w:r>
      <w:r>
        <w:rPr>
          <w:rFonts w:ascii="Times New Roman" w:hAnsi="Times New Roman" w:eastAsia="MS Mincho" w:cs="Times New Roman"/>
          <w:sz w:val="20"/>
          <w:szCs w:val="20"/>
          <w:lang w:val="en-GB" w:eastAsia="en-GB" w:bidi="ar-SA"/>
        </w:rPr>
        <w:t>Earth-moving: provisioned by beam(s) whose coverage area slides over the Earth surface (e.g., the case of NGSO satellites generating fixed or non-steerable beams).</w:t>
      </w:r>
    </w:p>
    <w:p>
      <w:pPr>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For (quasi-)earth fixed cells, the NTN cell covers certain </w:t>
      </w:r>
      <w:r>
        <w:rPr>
          <w:rFonts w:ascii="Times New Roman" w:hAnsi="Times New Roman" w:eastAsia="MS Mincho" w:cs="Times New Roman"/>
          <w:sz w:val="20"/>
          <w:szCs w:val="20"/>
          <w:lang w:val="en-GB" w:eastAsia="en-GB" w:bidi="ar-SA"/>
        </w:rPr>
        <w:t>geographical areas</w:t>
      </w:r>
      <w:r>
        <w:rPr>
          <w:rFonts w:hint="eastAsia" w:ascii="Times New Roman" w:hAnsi="Times New Roman" w:eastAsia="宋体" w:cs="Times New Roman"/>
          <w:sz w:val="20"/>
          <w:szCs w:val="20"/>
          <w:lang w:val="en-US" w:eastAsia="zh-CN" w:bidi="ar-SA"/>
        </w:rPr>
        <w:t xml:space="preserve"> and provide service for that area </w:t>
      </w:r>
      <w:r>
        <w:rPr>
          <w:rFonts w:hint="eastAsia" w:ascii="Times New Roman" w:hAnsi="Times New Roman"/>
          <w:sz w:val="20"/>
          <w:szCs w:val="20"/>
          <w:lang w:val="en-US" w:eastAsia="zh-CN"/>
        </w:rPr>
        <w:t xml:space="preserve">at certain time. As NTN cells normally provide much larger coverage than TN cells and most of the NB-IoT UEs are low mobility, so for the UEs at the near point and the middle near point, there is no need to perform neighbour cell measurements before the service stop time. For the UEs at the far point, it may need to perform neighbour cell measurements before the service stop time. </w:t>
      </w:r>
    </w:p>
    <w:p>
      <w:pPr>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For earth moving cells, although the NB-IoT UEs move slowly, the distance between the satellite and the UE changes obviously due to satellite movement, and it may need to perform neighbour cell measurements before the satellite stops serving the location of the UE.   </w:t>
      </w:r>
    </w:p>
    <w:p>
      <w:pPr>
        <w:jc w:val="both"/>
        <w:rPr>
          <w:rFonts w:hint="default" w:ascii="Times New Roman" w:hAnsi="Times New Roman"/>
          <w:sz w:val="20"/>
          <w:szCs w:val="20"/>
          <w:lang w:val="en-US" w:eastAsia="zh-CN"/>
        </w:rPr>
      </w:pPr>
      <w:r>
        <w:rPr>
          <w:rFonts w:hint="eastAsia" w:ascii="Times New Roman" w:hAnsi="Times New Roman"/>
          <w:sz w:val="20"/>
          <w:szCs w:val="20"/>
          <w:lang w:val="en-US" w:eastAsia="zh-CN"/>
        </w:rPr>
        <w:t>As it has been agreed in R17 IoT-NTN that network will broadcast the ephemeris and the service stop time of the satellite and that the IoT-NTN UE should have GNSS capability, so the distance between the satellite and the UE as well as the time of satellite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stopping service time can be obtained by IoT-NTN UEs.</w:t>
      </w:r>
      <w:r>
        <w:rPr>
          <w:rFonts w:hint="eastAsia" w:ascii="Times New Roman" w:hAnsi="Times New Roman"/>
          <w:sz w:val="20"/>
          <w:szCs w:val="20"/>
          <w:highlight w:val="none"/>
          <w:lang w:val="en-US" w:eastAsia="zh-CN"/>
        </w:rPr>
        <w:t xml:space="preserve"> </w:t>
      </w:r>
      <w:bookmarkStart w:id="2" w:name="OLE_LINK2"/>
      <w:r>
        <w:rPr>
          <w:rFonts w:hint="eastAsia" w:ascii="Times New Roman" w:hAnsi="Times New Roman" w:eastAsia="宋体" w:cs="Times New Roman"/>
          <w:sz w:val="20"/>
          <w:szCs w:val="20"/>
          <w:highlight w:val="none"/>
          <w:lang w:val="en-US" w:eastAsia="zh-CN"/>
        </w:rPr>
        <w:t>In the legacy specification,</w:t>
      </w:r>
      <w:r>
        <w:rPr>
          <w:rFonts w:hint="eastAsia" w:ascii="Times New Roman" w:hAnsi="Times New Roman" w:eastAsia="宋体" w:cs="Times New Roman"/>
          <w:sz w:val="20"/>
          <w:szCs w:val="20"/>
          <w:highlight w:val="none"/>
          <w:lang w:val="en-US" w:eastAsia="zh-CN"/>
        </w:rPr>
        <w:t xml:space="preserve"> IoT UEs are not going to update the GNSS during RRC_CONNECTED state, </w:t>
      </w:r>
      <w:r>
        <w:rPr>
          <w:rFonts w:hint="eastAsia" w:ascii="Times New Roman" w:hAnsi="Times New Roman" w:eastAsia="宋体" w:cs="Times New Roman"/>
          <w:sz w:val="20"/>
          <w:szCs w:val="20"/>
          <w:highlight w:val="none"/>
          <w:lang w:val="en-US" w:eastAsia="zh-CN"/>
        </w:rPr>
        <w:t>considering that</w:t>
      </w:r>
      <w:r>
        <w:rPr>
          <w:rFonts w:hint="eastAsia" w:ascii="Times New Roman" w:hAnsi="Times New Roman" w:eastAsia="宋体" w:cs="Times New Roman"/>
          <w:sz w:val="20"/>
          <w:szCs w:val="20"/>
          <w:highlight w:val="none"/>
          <w:lang w:val="en-US" w:eastAsia="zh-CN"/>
        </w:rPr>
        <w:t xml:space="preserve"> most NB-IoT service</w:t>
      </w:r>
      <w:r>
        <w:rPr>
          <w:rFonts w:hint="eastAsia" w:ascii="Times New Roman" w:hAnsi="Times New Roman" w:eastAsia="宋体" w:cs="Times New Roman"/>
          <w:sz w:val="20"/>
          <w:szCs w:val="20"/>
          <w:highlight w:val="none"/>
          <w:lang w:val="en-US" w:eastAsia="zh-CN"/>
        </w:rPr>
        <w:t>s</w:t>
      </w:r>
      <w:r>
        <w:rPr>
          <w:rFonts w:hint="eastAsia" w:ascii="Times New Roman" w:hAnsi="Times New Roman" w:eastAsia="宋体" w:cs="Times New Roman"/>
          <w:sz w:val="20"/>
          <w:szCs w:val="20"/>
          <w:highlight w:val="none"/>
          <w:lang w:val="en-US" w:eastAsia="zh-CN"/>
        </w:rPr>
        <w:t xml:space="preserve"> are motionless or low-mobility</w:t>
      </w:r>
      <w:r>
        <w:rPr>
          <w:rFonts w:hint="eastAsia" w:ascii="Times New Roman" w:hAnsi="Times New Roman" w:eastAsia="宋体" w:cs="Times New Roman"/>
          <w:sz w:val="20"/>
          <w:szCs w:val="20"/>
          <w:highlight w:val="none"/>
          <w:lang w:val="en-US" w:eastAsia="zh-CN"/>
        </w:rPr>
        <w:t>, GNSS can be available for a long time.</w:t>
      </w:r>
      <w:r>
        <w:rPr>
          <w:rFonts w:hint="eastAsia" w:ascii="Times New Roman" w:hAnsi="Times New Roman" w:eastAsia="宋体"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zh-CN"/>
        </w:rPr>
        <w:t>M</w:t>
      </w:r>
      <w:r>
        <w:rPr>
          <w:rFonts w:hint="eastAsia" w:ascii="Times New Roman" w:hAnsi="Times New Roman" w:eastAsia="宋体" w:cs="Times New Roman"/>
          <w:sz w:val="20"/>
          <w:szCs w:val="20"/>
          <w:highlight w:val="none"/>
          <w:lang w:val="en-US" w:eastAsia="zh-CN"/>
        </w:rPr>
        <w:t>oreover</w:t>
      </w:r>
      <w:r>
        <w:rPr>
          <w:rFonts w:hint="eastAsia" w:ascii="Times New Roman" w:hAnsi="Times New Roman" w:eastAsia="宋体"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 xml:space="preserve"> now RAN1 </w:t>
      </w:r>
      <w:r>
        <w:rPr>
          <w:rFonts w:hint="eastAsia" w:ascii="Times New Roman" w:hAnsi="Times New Roman" w:eastAsia="宋体" w:cs="Times New Roman"/>
          <w:sz w:val="20"/>
          <w:szCs w:val="20"/>
          <w:highlight w:val="none"/>
          <w:lang w:val="en-US" w:eastAsia="zh-CN"/>
        </w:rPr>
        <w:t>is</w:t>
      </w:r>
      <w:r>
        <w:rPr>
          <w:rFonts w:hint="eastAsia" w:ascii="Times New Roman" w:hAnsi="Times New Roman" w:eastAsia="宋体"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zh-CN"/>
        </w:rPr>
        <w:t>working on</w:t>
      </w:r>
      <w:r>
        <w:rPr>
          <w:rFonts w:hint="eastAsia" w:ascii="Times New Roman" w:hAnsi="Times New Roman" w:eastAsia="宋体" w:cs="Times New Roman"/>
          <w:sz w:val="20"/>
          <w:szCs w:val="20"/>
          <w:highlight w:val="none"/>
          <w:lang w:val="en-US" w:eastAsia="zh-CN"/>
        </w:rPr>
        <w:t xml:space="preserve"> improv</w:t>
      </w:r>
      <w:r>
        <w:rPr>
          <w:rFonts w:hint="eastAsia" w:ascii="Times New Roman" w:hAnsi="Times New Roman" w:eastAsia="宋体" w:cs="Times New Roman"/>
          <w:sz w:val="20"/>
          <w:szCs w:val="20"/>
          <w:highlight w:val="none"/>
          <w:lang w:val="en-US" w:eastAsia="zh-CN"/>
        </w:rPr>
        <w:t>ing</w:t>
      </w:r>
      <w:r>
        <w:rPr>
          <w:rFonts w:hint="eastAsia" w:ascii="Times New Roman" w:hAnsi="Times New Roman" w:eastAsia="宋体" w:cs="Times New Roman"/>
          <w:sz w:val="20"/>
          <w:szCs w:val="20"/>
          <w:highlight w:val="none"/>
          <w:lang w:val="en-US" w:eastAsia="zh-CN"/>
        </w:rPr>
        <w:t xml:space="preserve"> GNSS operations for long connection</w:t>
      </w:r>
      <w:r>
        <w:rPr>
          <w:rFonts w:hint="eastAsia" w:ascii="Times New Roman" w:hAnsi="Times New Roman" w:eastAsia="宋体" w:cs="Times New Roman"/>
          <w:sz w:val="20"/>
          <w:szCs w:val="20"/>
          <w:highlight w:val="none"/>
          <w:lang w:val="en-US" w:eastAsia="zh-CN"/>
        </w:rPr>
        <w:t xml:space="preserve"> [2],</w:t>
      </w:r>
      <w:r>
        <w:rPr>
          <w:rFonts w:hint="eastAsia" w:ascii="Times New Roman" w:hAnsi="Times New Roman" w:eastAsia="宋体" w:cs="Times New Roman"/>
          <w:sz w:val="20"/>
          <w:szCs w:val="20"/>
          <w:highlight w:val="none"/>
          <w:lang w:val="en-US" w:eastAsia="zh-CN"/>
        </w:rPr>
        <w:t xml:space="preserve"> which means the GNSS position fix can be update</w:t>
      </w:r>
      <w:r>
        <w:rPr>
          <w:rFonts w:hint="eastAsia" w:ascii="Times New Roman" w:hAnsi="Times New Roman" w:eastAsia="宋体" w:cs="Times New Roman"/>
          <w:sz w:val="20"/>
          <w:szCs w:val="20"/>
          <w:highlight w:val="none"/>
          <w:lang w:val="en-US" w:eastAsia="zh-CN"/>
        </w:rPr>
        <w:t>d</w:t>
      </w:r>
      <w:r>
        <w:rPr>
          <w:rFonts w:hint="eastAsia" w:ascii="Times New Roman" w:hAnsi="Times New Roman" w:eastAsia="宋体" w:cs="Times New Roman"/>
          <w:sz w:val="20"/>
          <w:szCs w:val="20"/>
          <w:highlight w:val="none"/>
          <w:lang w:val="en-US" w:eastAsia="zh-CN"/>
        </w:rPr>
        <w:t xml:space="preserve"> during RRC_CONNECTED state, so the GNSS position can be considered available for IoT UEs</w:t>
      </w:r>
      <w:r>
        <w:rPr>
          <w:rFonts w:hint="eastAsia" w:ascii="Times New Roman" w:hAnsi="Times New Roman"/>
          <w:sz w:val="20"/>
          <w:szCs w:val="20"/>
          <w:highlight w:val="none"/>
          <w:lang w:val="en-US" w:eastAsia="zh-CN"/>
        </w:rPr>
        <w:t xml:space="preserve">. </w:t>
      </w:r>
      <w:bookmarkEnd w:id="2"/>
      <w:r>
        <w:rPr>
          <w:rFonts w:hint="eastAsia" w:ascii="Times New Roman" w:hAnsi="Times New Roman"/>
          <w:sz w:val="20"/>
          <w:szCs w:val="20"/>
          <w:highlight w:val="none"/>
          <w:lang w:val="en-US" w:eastAsia="zh-CN"/>
        </w:rPr>
        <w:t xml:space="preserve">As </w:t>
      </w:r>
      <w:r>
        <w:rPr>
          <w:rFonts w:hint="eastAsia" w:ascii="Times New Roman" w:hAnsi="Times New Roman"/>
          <w:sz w:val="20"/>
          <w:szCs w:val="20"/>
          <w:lang w:val="en-US" w:eastAsia="zh-CN"/>
        </w:rPr>
        <w:t>analyzed above, the distance between the satellite and the UE as well as the time of satellite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stopping service time can be taken into account as an measurement triggering quantity for NB-IoT in NTN.</w:t>
      </w:r>
    </w:p>
    <w:p>
      <w:pPr>
        <w:jc w:val="both"/>
        <w:rPr>
          <w:rFonts w:hint="default" w:eastAsia="宋体"/>
          <w:lang w:val="en-US" w:eastAsia="zh-CN"/>
        </w:rPr>
      </w:pPr>
    </w:p>
    <w:p>
      <w:pPr>
        <w:pStyle w:val="17"/>
        <w:numPr>
          <w:ilvl w:val="0"/>
          <w:numId w:val="5"/>
        </w:numPr>
        <w:overflowPunct/>
        <w:autoSpaceDE/>
        <w:autoSpaceDN/>
        <w:adjustRightInd/>
        <w:spacing w:line="259" w:lineRule="auto"/>
        <w:jc w:val="both"/>
        <w:textAlignment w:val="auto"/>
      </w:pPr>
      <w:r>
        <w:rPr>
          <w:rFonts w:hint="eastAsia" w:ascii="Times New Roman" w:hAnsi="Times New Roman"/>
          <w:sz w:val="20"/>
          <w:szCs w:val="20"/>
          <w:highlight w:val="none"/>
          <w:lang w:val="en-US" w:eastAsia="zh-CN"/>
        </w:rPr>
        <w:t>The distance between the</w:t>
      </w:r>
      <w:r>
        <w:rPr>
          <w:rFonts w:hint="eastAsia" w:ascii="Times New Roman" w:hAnsi="Times New Roman"/>
          <w:sz w:val="20"/>
          <w:szCs w:val="20"/>
          <w:lang w:val="en-US" w:eastAsia="zh-CN"/>
        </w:rPr>
        <w:t xml:space="preserve"> satellite and the UE as well as the time of satellite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stopping service time can be taken into account as an measurement triggering quantity for NB-IoT in NTN.</w:t>
      </w:r>
    </w:p>
    <w:p>
      <w:pPr>
        <w:jc w:val="both"/>
        <w:rPr>
          <w:rFonts w:hint="default" w:eastAsia="宋体"/>
          <w:lang w:val="en-US" w:eastAsia="zh-CN"/>
        </w:rPr>
      </w:pPr>
    </w:p>
    <w:p>
      <w:pPr>
        <w:jc w:val="both"/>
        <w:rPr>
          <w:rFonts w:hint="default" w:ascii="Times New Roman" w:hAnsi="Times New Roman" w:eastAsia="微软雅黑" w:cs="Times New Roman"/>
          <w:sz w:val="20"/>
          <w:szCs w:val="20"/>
          <w:lang w:val="en-US" w:eastAsia="zh-CN"/>
        </w:rPr>
      </w:pPr>
      <w:r>
        <w:rPr>
          <w:rFonts w:hint="default" w:ascii="Times New Roman" w:hAnsi="Times New Roman" w:eastAsia="微软雅黑" w:cs="Times New Roman"/>
          <w:sz w:val="20"/>
          <w:szCs w:val="20"/>
          <w:lang w:val="en-US" w:eastAsia="zh-CN"/>
        </w:rPr>
        <w:t>I</w:t>
      </w:r>
      <w:r>
        <w:rPr>
          <w:rFonts w:hint="default" w:ascii="Times New Roman" w:hAnsi="Times New Roman" w:eastAsia="微软雅黑" w:cs="Times New Roman"/>
          <w:sz w:val="20"/>
          <w:szCs w:val="20"/>
        </w:rPr>
        <w:t>n Rel-17 NR NTN</w:t>
      </w:r>
      <w:r>
        <w:rPr>
          <w:rFonts w:hint="default" w:ascii="Times New Roman" w:hAnsi="Times New Roman" w:eastAsia="微软雅黑" w:cs="Times New Roman"/>
          <w:sz w:val="20"/>
          <w:szCs w:val="20"/>
          <w:lang w:val="en-US" w:eastAsia="zh-CN"/>
        </w:rPr>
        <w:t xml:space="preserve">, it </w:t>
      </w:r>
      <w:r>
        <w:rPr>
          <w:rFonts w:hint="default" w:ascii="Times New Roman" w:hAnsi="Times New Roman" w:eastAsia="微软雅黑" w:cs="Times New Roman"/>
          <w:sz w:val="20"/>
          <w:szCs w:val="20"/>
          <w:lang w:eastAsia="zh-CN"/>
        </w:rPr>
        <w:t>supports the following additional triggering conditions upon which UE may execute CHO to a candidate cell</w:t>
      </w:r>
      <w:r>
        <w:rPr>
          <w:rFonts w:hint="default" w:ascii="Times New Roman" w:hAnsi="Times New Roman" w:eastAsia="微软雅黑" w:cs="Times New Roman"/>
          <w:sz w:val="20"/>
          <w:szCs w:val="20"/>
          <w:lang w:val="en-US" w:eastAsia="zh-CN"/>
        </w:rPr>
        <w:t>:</w:t>
      </w:r>
    </w:p>
    <w:p>
      <w:pPr>
        <w:pStyle w:val="2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event A4;</w:t>
      </w:r>
    </w:p>
    <w:p>
      <w:pPr>
        <w:pStyle w:val="20"/>
        <w:jc w:val="both"/>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w:t>
      </w:r>
      <w:r>
        <w:rPr>
          <w:rFonts w:hint="default" w:ascii="Times New Roman" w:hAnsi="Times New Roman" w:cs="Times New Roman"/>
          <w:sz w:val="20"/>
          <w:szCs w:val="20"/>
          <w:highlight w:val="none"/>
          <w:lang w:eastAsia="zh-CN"/>
        </w:rPr>
        <w:tab/>
      </w:r>
      <w:r>
        <w:rPr>
          <w:rFonts w:hint="default" w:ascii="Times New Roman" w:hAnsi="Times New Roman" w:cs="Times New Roman"/>
          <w:sz w:val="20"/>
          <w:szCs w:val="20"/>
          <w:highlight w:val="none"/>
          <w:lang w:eastAsia="zh-CN"/>
        </w:rPr>
        <w:t>A time-based trigger condition;</w:t>
      </w:r>
    </w:p>
    <w:p>
      <w:pPr>
        <w:pStyle w:val="20"/>
        <w:jc w:val="both"/>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w:t>
      </w:r>
      <w:r>
        <w:rPr>
          <w:rFonts w:hint="default" w:ascii="Times New Roman" w:hAnsi="Times New Roman" w:cs="Times New Roman"/>
          <w:sz w:val="20"/>
          <w:szCs w:val="20"/>
          <w:highlight w:val="none"/>
          <w:lang w:eastAsia="zh-CN"/>
        </w:rPr>
        <w:tab/>
      </w:r>
      <w:r>
        <w:rPr>
          <w:rFonts w:hint="default" w:ascii="Times New Roman" w:hAnsi="Times New Roman" w:cs="Times New Roman"/>
          <w:sz w:val="20"/>
          <w:szCs w:val="20"/>
          <w:highlight w:val="none"/>
          <w:lang w:eastAsia="zh-CN"/>
        </w:rPr>
        <w:t>A location-based trigger condition.</w:t>
      </w:r>
    </w:p>
    <w:p>
      <w:p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A time-based or a location-based trigger condition is always configured together with one of the the measurement-based trigger conditions (CHO events A3/A4/A5). Location is defined by the distance between UE and a reference location</w:t>
      </w:r>
      <w:r>
        <w:rPr>
          <w:rFonts w:hint="eastAsia" w:ascii="Times New Roman" w:hAnsi="Times New Roman" w:cs="Times New Roman"/>
          <w:sz w:val="20"/>
          <w:szCs w:val="20"/>
          <w:lang w:val="en-US" w:eastAsia="zh-CN"/>
        </w:rPr>
        <w:t>, i.e. CondEvent D1</w:t>
      </w:r>
      <w:r>
        <w:rPr>
          <w:rFonts w:hint="default" w:ascii="Times New Roman" w:hAnsi="Times New Roman" w:cs="Times New Roman"/>
          <w:sz w:val="20"/>
          <w:szCs w:val="20"/>
          <w:lang w:eastAsia="zh-CN"/>
        </w:rPr>
        <w:t>. Time is defined by the time between T1 and T2, where T1 is an absolute time value and T2 is a duration started at T1</w:t>
      </w:r>
      <w:r>
        <w:rPr>
          <w:rFonts w:hint="eastAsia" w:ascii="Times New Roman" w:hAnsi="Times New Roman" w:cs="Times New Roman"/>
          <w:sz w:val="20"/>
          <w:szCs w:val="20"/>
          <w:lang w:val="en-US" w:eastAsia="zh-CN"/>
        </w:rPr>
        <w:t>,i.e. CondEvent T1</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 xml:space="preserve"> </w:t>
      </w:r>
    </w:p>
    <w:p>
      <w:pPr>
        <w:jc w:val="both"/>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lang w:val="en-US" w:eastAsia="zh-CN"/>
        </w:rPr>
        <w:t xml:space="preserve">For eMTC, it also supports CHO, so the same </w:t>
      </w:r>
      <w:r>
        <w:rPr>
          <w:rFonts w:hint="default" w:ascii="Times New Roman" w:hAnsi="Times New Roman" w:cs="Times New Roman"/>
          <w:sz w:val="20"/>
          <w:szCs w:val="20"/>
          <w:lang w:eastAsia="zh-CN"/>
        </w:rPr>
        <w:t>triggering conditions</w:t>
      </w:r>
      <w:r>
        <w:rPr>
          <w:rFonts w:hint="default" w:ascii="Times New Roman" w:hAnsi="Times New Roman" w:cs="Times New Roman"/>
          <w:sz w:val="20"/>
          <w:szCs w:val="20"/>
          <w:lang w:val="en-US" w:eastAsia="zh-CN"/>
        </w:rPr>
        <w:t xml:space="preserve"> can also be introduced for eMTC in NTN and maybe </w:t>
      </w:r>
      <w:r>
        <w:rPr>
          <w:rFonts w:hint="default" w:ascii="Times New Roman" w:hAnsi="Times New Roman" w:cs="Times New Roman"/>
          <w:sz w:val="20"/>
          <w:szCs w:val="20"/>
        </w:rPr>
        <w:t>minimum changes</w:t>
      </w:r>
      <w:r>
        <w:rPr>
          <w:rFonts w:hint="default" w:ascii="Times New Roman" w:hAnsi="Times New Roman" w:eastAsia="宋体" w:cs="Times New Roman"/>
          <w:sz w:val="20"/>
          <w:szCs w:val="20"/>
          <w:lang w:val="en-US" w:eastAsia="zh-CN"/>
        </w:rPr>
        <w:t xml:space="preserve"> can be </w:t>
      </w:r>
      <w:r>
        <w:rPr>
          <w:rFonts w:hint="default" w:ascii="Times New Roman" w:hAnsi="Times New Roman" w:cs="Times New Roman"/>
          <w:sz w:val="20"/>
          <w:szCs w:val="20"/>
        </w:rPr>
        <w:t>adapt</w:t>
      </w:r>
      <w:r>
        <w:rPr>
          <w:rFonts w:hint="default" w:ascii="Times New Roman" w:hAnsi="Times New Roman" w:eastAsia="宋体" w:cs="Times New Roman"/>
          <w:sz w:val="20"/>
          <w:szCs w:val="20"/>
          <w:lang w:val="en-US" w:eastAsia="zh-CN"/>
        </w:rPr>
        <w:t>ed if found necessary.</w:t>
      </w:r>
      <w:r>
        <w:rPr>
          <w:rFonts w:hint="eastAsia"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highlight w:val="none"/>
          <w:lang w:val="en-US" w:eastAsia="zh-CN"/>
        </w:rPr>
        <w:t>As for location-based trigger condition, as analyzed above</w:t>
      </w:r>
      <w:r>
        <w:rPr>
          <w:rFonts w:hint="eastAsia" w:ascii="Times New Roman" w:hAnsi="Times New Roman" w:eastAsia="宋体"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 xml:space="preserve"> the GNSS position can be considered </w:t>
      </w:r>
      <w:r>
        <w:rPr>
          <w:rFonts w:hint="eastAsia" w:ascii="Times New Roman" w:hAnsi="Times New Roman" w:eastAsia="宋体" w:cs="Times New Roman"/>
          <w:sz w:val="20"/>
          <w:szCs w:val="20"/>
          <w:highlight w:val="none"/>
          <w:lang w:val="en-US" w:eastAsia="zh-CN"/>
        </w:rPr>
        <w:t xml:space="preserve">as </w:t>
      </w:r>
      <w:r>
        <w:rPr>
          <w:rFonts w:hint="eastAsia" w:ascii="Times New Roman" w:hAnsi="Times New Roman" w:eastAsia="宋体" w:cs="Times New Roman"/>
          <w:sz w:val="20"/>
          <w:szCs w:val="20"/>
          <w:highlight w:val="none"/>
          <w:lang w:val="en-US" w:eastAsia="zh-CN"/>
        </w:rPr>
        <w:t>available for IoT UEs.</w:t>
      </w:r>
    </w:p>
    <w:p>
      <w:pPr>
        <w:pStyle w:val="17"/>
        <w:numPr>
          <w:ilvl w:val="0"/>
          <w:numId w:val="5"/>
        </w:numPr>
        <w:overflowPunct/>
        <w:autoSpaceDE/>
        <w:autoSpaceDN/>
        <w:adjustRightInd/>
        <w:spacing w:line="259" w:lineRule="auto"/>
        <w:jc w:val="both"/>
        <w:textAlignment w:val="auto"/>
        <w:rPr>
          <w:rFonts w:hint="default" w:eastAsia="宋体"/>
          <w:lang w:val="en-US" w:eastAsia="zh-CN"/>
        </w:rPr>
      </w:pPr>
      <w:bookmarkStart w:id="3" w:name="OLE_LINK1"/>
      <w:r>
        <w:rPr>
          <w:rFonts w:hint="default" w:ascii="Times New Roman" w:hAnsi="Times New Roman" w:eastAsia="宋体" w:cs="Times New Roman"/>
          <w:sz w:val="20"/>
          <w:szCs w:val="20"/>
          <w:lang w:val="en-US" w:eastAsia="zh-CN"/>
        </w:rPr>
        <w:t xml:space="preserve">The </w:t>
      </w:r>
      <w:r>
        <w:rPr>
          <w:rFonts w:hint="default" w:ascii="Times New Roman" w:hAnsi="Times New Roman" w:cs="Times New Roman"/>
          <w:sz w:val="20"/>
          <w:szCs w:val="20"/>
          <w:lang w:eastAsia="zh-CN"/>
        </w:rPr>
        <w:t>time-based</w:t>
      </w:r>
      <w:r>
        <w:rPr>
          <w:rFonts w:hint="default" w:ascii="Times New Roman" w:hAnsi="Times New Roman" w:cs="Times New Roman"/>
          <w:sz w:val="20"/>
          <w:szCs w:val="20"/>
          <w:lang w:val="en-US" w:eastAsia="zh-CN"/>
        </w:rPr>
        <w:t xml:space="preserve"> and </w:t>
      </w:r>
      <w:r>
        <w:rPr>
          <w:rFonts w:hint="default" w:ascii="Times New Roman" w:hAnsi="Times New Roman" w:cs="Times New Roman"/>
          <w:sz w:val="20"/>
          <w:szCs w:val="20"/>
          <w:lang w:eastAsia="zh-CN"/>
        </w:rPr>
        <w:t>location-based triggering conditions</w:t>
      </w:r>
      <w:r>
        <w:rPr>
          <w:rFonts w:hint="default" w:ascii="Times New Roman" w:hAnsi="Times New Roman" w:cs="Times New Roman"/>
          <w:sz w:val="20"/>
          <w:szCs w:val="20"/>
          <w:lang w:val="en-US" w:eastAsia="zh-CN"/>
        </w:rPr>
        <w:t xml:space="preserve"> can be introduced in CHO for eMTC in NTN</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with</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minimum changes</w:t>
      </w:r>
      <w:r>
        <w:rPr>
          <w:rFonts w:hint="default" w:ascii="Times New Roman" w:hAnsi="Times New Roman" w:eastAsia="宋体" w:cs="Times New Roman"/>
          <w:sz w:val="20"/>
          <w:szCs w:val="20"/>
          <w:lang w:val="en-US" w:eastAsia="zh-CN"/>
        </w:rPr>
        <w:t xml:space="preserve"> if found necessary.</w:t>
      </w:r>
    </w:p>
    <w:bookmarkEnd w:id="3"/>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In this contribution we discussed issues related to mobility enhancemen</w:t>
      </w:r>
      <w:r>
        <w:rPr>
          <w:rFonts w:hint="eastAsia" w:ascii="Times New Roman" w:hAnsi="Times New Roman" w:eastAsia="宋体" w:cs="Times New Roman"/>
          <w:color w:val="000000" w:themeColor="text1"/>
          <w:lang w:val="en-US" w:eastAsia="zh-CN"/>
          <w14:textFill>
            <w14:solidFill>
              <w14:schemeClr w14:val="tx1"/>
            </w14:solidFill>
          </w14:textFill>
        </w:rPr>
        <w:t>t</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jc w:val="both"/>
        <w:rPr>
          <w:rFonts w:hint="default" w:ascii="Times New Roman" w:hAnsi="Times New Roman" w:cs="Times New Roman"/>
          <w:color w:val="000000" w:themeColor="text1"/>
          <w:lang w:val="en-US"/>
          <w14:textFill>
            <w14:solidFill>
              <w14:schemeClr w14:val="tx1"/>
            </w14:solidFill>
          </w14:textFill>
        </w:rPr>
      </w:pPr>
    </w:p>
    <w:p>
      <w:pPr>
        <w:pStyle w:val="17"/>
        <w:numPr>
          <w:ilvl w:val="0"/>
          <w:numId w:val="0"/>
        </w:numPr>
        <w:spacing w:line="260" w:lineRule="auto"/>
        <w:ind w:left="1304" w:hanging="1304"/>
        <w:jc w:val="both"/>
        <w:rPr>
          <w:rFonts w:hint="default" w:ascii="Times New Roman" w:hAnsi="Times New Roman" w:cs="Times New Roman"/>
          <w:color w:val="000000" w:themeColor="text1"/>
          <w:lang w:val="en-US"/>
          <w14:textFill>
            <w14:solidFill>
              <w14:schemeClr w14:val="tx1"/>
            </w14:solidFill>
          </w14:textFill>
        </w:rPr>
      </w:pPr>
      <w:r>
        <w:rPr>
          <w:rFonts w:hint="eastAsia" w:ascii="Times New Roman" w:hAnsi="Times New Roman"/>
          <w:sz w:val="20"/>
          <w:szCs w:val="20"/>
          <w:highlight w:val="none"/>
          <w:lang w:val="en-US" w:eastAsia="zh-CN"/>
        </w:rPr>
        <w:t>Observation 1 Measurement triggering quantity of RSRP may not work well for non-terrestrial network.</w:t>
      </w:r>
    </w:p>
    <w:p>
      <w:pPr>
        <w:pStyle w:val="17"/>
        <w:numPr>
          <w:ilvl w:val="0"/>
          <w:numId w:val="6"/>
        </w:numPr>
        <w:overflowPunct/>
        <w:autoSpaceDE/>
        <w:autoSpaceDN/>
        <w:adjustRightInd/>
        <w:spacing w:line="259" w:lineRule="auto"/>
        <w:jc w:val="both"/>
        <w:textAlignment w:val="auto"/>
        <w:rPr>
          <w:rFonts w:hint="default" w:ascii="Times New Roman" w:hAnsi="Times New Roman" w:cs="Times New Roman"/>
          <w:sz w:val="21"/>
          <w:szCs w:val="20"/>
          <w:lang w:val="en-US" w:eastAsia="zh-CN"/>
        </w:rPr>
      </w:pPr>
      <w:r>
        <w:rPr>
          <w:rFonts w:hint="eastAsia" w:ascii="Times New Roman" w:hAnsi="Times New Roman" w:cs="Times New Roman"/>
          <w:sz w:val="21"/>
          <w:szCs w:val="20"/>
          <w:lang w:val="en-US" w:eastAsia="zh-CN"/>
        </w:rPr>
        <w:t>The distance between the satellite and the UE as well as the time of satellite</w:t>
      </w:r>
      <w:r>
        <w:rPr>
          <w:rFonts w:hint="default" w:ascii="Times New Roman" w:hAnsi="Times New Roman" w:cs="Times New Roman"/>
          <w:sz w:val="21"/>
          <w:szCs w:val="20"/>
          <w:lang w:val="en-US" w:eastAsia="zh-CN"/>
        </w:rPr>
        <w:t>’</w:t>
      </w:r>
      <w:r>
        <w:rPr>
          <w:rFonts w:hint="eastAsia" w:ascii="Times New Roman" w:hAnsi="Times New Roman" w:cs="Times New Roman"/>
          <w:sz w:val="21"/>
          <w:szCs w:val="20"/>
          <w:lang w:val="en-US" w:eastAsia="zh-CN"/>
        </w:rPr>
        <w:t>s stopping servicing time can be taken into account as an measurement triggering quantity for NB-IoT in NTN.</w:t>
      </w:r>
    </w:p>
    <w:p>
      <w:pPr>
        <w:pStyle w:val="17"/>
        <w:numPr>
          <w:ilvl w:val="0"/>
          <w:numId w:val="6"/>
        </w:numPr>
        <w:overflowPunct/>
        <w:autoSpaceDE/>
        <w:autoSpaceDN/>
        <w:adjustRightInd/>
        <w:spacing w:line="259" w:lineRule="auto"/>
        <w:jc w:val="both"/>
        <w:textAlignment w:val="auto"/>
        <w:rPr>
          <w:rFonts w:hint="eastAsia"/>
          <w:lang w:val="en-US" w:eastAsia="zh-CN"/>
        </w:rPr>
      </w:pPr>
      <w:r>
        <w:rPr>
          <w:rFonts w:hint="default" w:ascii="Times New Roman" w:hAnsi="Times New Roman" w:cs="Times New Roman"/>
          <w:sz w:val="21"/>
          <w:szCs w:val="20"/>
          <w:lang w:val="en-US" w:eastAsia="zh-CN"/>
        </w:rPr>
        <w:t>The time-based and location-based triggering conditions can be introduced in CHO for eMTC in NTN</w:t>
      </w:r>
      <w:r>
        <w:rPr>
          <w:rFonts w:hint="eastAsia" w:ascii="Times New Roman" w:hAnsi="Times New Roman" w:cs="Times New Roman"/>
          <w:sz w:val="21"/>
          <w:szCs w:val="20"/>
          <w:lang w:val="en-US" w:eastAsia="zh-CN"/>
        </w:rPr>
        <w:t>,</w:t>
      </w:r>
      <w:r>
        <w:rPr>
          <w:rFonts w:hint="default" w:ascii="Times New Roman" w:hAnsi="Times New Roman" w:cs="Times New Roman"/>
          <w:sz w:val="21"/>
          <w:szCs w:val="20"/>
          <w:lang w:val="en-US" w:eastAsia="zh-CN"/>
        </w:rPr>
        <w:t xml:space="preserve"> </w:t>
      </w:r>
      <w:r>
        <w:rPr>
          <w:rFonts w:hint="eastAsia" w:ascii="Times New Roman" w:hAnsi="Times New Roman" w:cs="Times New Roman"/>
          <w:sz w:val="21"/>
          <w:szCs w:val="20"/>
          <w:lang w:val="en-US" w:eastAsia="zh-CN"/>
        </w:rPr>
        <w:t>with</w:t>
      </w:r>
      <w:r>
        <w:rPr>
          <w:rFonts w:hint="default" w:ascii="Times New Roman" w:hAnsi="Times New Roman" w:cs="Times New Roman"/>
          <w:sz w:val="21"/>
          <w:szCs w:val="20"/>
          <w:lang w:val="en-US" w:eastAsia="zh-CN"/>
        </w:rPr>
        <w:t xml:space="preserve"> minimum changes if found necessary.</w:t>
      </w: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7"/>
        </w:numPr>
        <w:spacing w:after="0"/>
        <w:jc w:val="both"/>
        <w:rPr>
          <w:rFonts w:cs="Arial"/>
          <w:sz w:val="22"/>
          <w:szCs w:val="22"/>
        </w:rPr>
      </w:pPr>
      <w:r>
        <w:rPr>
          <w:rFonts w:cs="Arial"/>
          <w:sz w:val="22"/>
          <w:szCs w:val="22"/>
        </w:rPr>
        <w:t xml:space="preserve"> “</w:t>
      </w:r>
      <w:r>
        <w:rPr>
          <w:rFonts w:hint="eastAsia" w:cs="Arial"/>
          <w:sz w:val="22"/>
          <w:szCs w:val="22"/>
        </w:rPr>
        <w:t>R2_119-e_meeting_report_v1.docx</w:t>
      </w:r>
      <w:r>
        <w:rPr>
          <w:rFonts w:cs="Arial"/>
          <w:sz w:val="22"/>
          <w:szCs w:val="22"/>
        </w:rPr>
        <w:t>”</w:t>
      </w:r>
    </w:p>
    <w:p>
      <w:pPr>
        <w:pStyle w:val="6"/>
        <w:numPr>
          <w:ilvl w:val="0"/>
          <w:numId w:val="7"/>
        </w:numPr>
        <w:spacing w:after="0"/>
        <w:jc w:val="both"/>
        <w:rPr>
          <w:rFonts w:hint="default"/>
          <w:sz w:val="21"/>
          <w:lang w:val="en-US"/>
        </w:rPr>
      </w:pPr>
      <w:r>
        <w:rPr>
          <w:rFonts w:hint="eastAsia" w:eastAsia="宋体" w:cs="Arial"/>
          <w:sz w:val="22"/>
          <w:szCs w:val="22"/>
          <w:lang w:val="en-US" w:eastAsia="zh-CN"/>
        </w:rPr>
        <w:t xml:space="preserve"> </w:t>
      </w:r>
      <w:r>
        <w:rPr>
          <w:rFonts w:hint="default" w:eastAsia="宋体" w:cs="Arial"/>
          <w:sz w:val="22"/>
          <w:szCs w:val="22"/>
          <w:lang w:val="en-US" w:eastAsia="zh-CN"/>
        </w:rPr>
        <w:t>“Draft_Minutes_report_RAN1#110_v020.docx”</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variable"/>
    <w:sig w:usb0="E4002EFF" w:usb1="C000E47F" w:usb2="00000009" w:usb3="00000000" w:csb0="200001FF" w:csb1="0000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宋体">
    <w:panose1 w:val="02010600030101010101"/>
    <w:charset w:val="86"/>
    <w:family w:val="auto"/>
    <w:pitch w:val="variable"/>
    <w:sig w:usb0="00000003" w:usb1="288F0000" w:usb2="0000000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0355543E"/>
    <w:multiLevelType w:val="multilevel"/>
    <w:tmpl w:val="0355543E"/>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1BB76B4F"/>
    <w:multiLevelType w:val="multilevel"/>
    <w:tmpl w:val="1BB76B4F"/>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455AEFA"/>
    <w:multiLevelType w:val="multilevel"/>
    <w:tmpl w:val="5455AEFA"/>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5">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4"/>
  </w:num>
  <w:num w:numId="3">
    <w:abstractNumId w:val="5"/>
  </w:num>
  <w:num w:numId="4">
    <w:abstractNumId w:val="1"/>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A687A"/>
    <w:rsid w:val="00D10BDD"/>
    <w:rsid w:val="00E21B0B"/>
    <w:rsid w:val="017625C7"/>
    <w:rsid w:val="01BC413C"/>
    <w:rsid w:val="037D4A98"/>
    <w:rsid w:val="04BA00BC"/>
    <w:rsid w:val="05A17499"/>
    <w:rsid w:val="05DC35DB"/>
    <w:rsid w:val="05F02177"/>
    <w:rsid w:val="06AD14D1"/>
    <w:rsid w:val="074434AD"/>
    <w:rsid w:val="077E1DF5"/>
    <w:rsid w:val="08705469"/>
    <w:rsid w:val="0871778C"/>
    <w:rsid w:val="09242B66"/>
    <w:rsid w:val="09AA20D3"/>
    <w:rsid w:val="09C8159B"/>
    <w:rsid w:val="0A083CCF"/>
    <w:rsid w:val="0A296EBB"/>
    <w:rsid w:val="0A522E33"/>
    <w:rsid w:val="0C480592"/>
    <w:rsid w:val="0C8B3F6C"/>
    <w:rsid w:val="0CDF38AA"/>
    <w:rsid w:val="0D701E08"/>
    <w:rsid w:val="0DAF7C6F"/>
    <w:rsid w:val="0F054467"/>
    <w:rsid w:val="0F711142"/>
    <w:rsid w:val="0F846F16"/>
    <w:rsid w:val="10664121"/>
    <w:rsid w:val="10D97A01"/>
    <w:rsid w:val="110E3FBC"/>
    <w:rsid w:val="1259446D"/>
    <w:rsid w:val="12CA4226"/>
    <w:rsid w:val="134C4354"/>
    <w:rsid w:val="13D7274C"/>
    <w:rsid w:val="142030D3"/>
    <w:rsid w:val="151764BF"/>
    <w:rsid w:val="15F639C0"/>
    <w:rsid w:val="166A6E0A"/>
    <w:rsid w:val="16FF7648"/>
    <w:rsid w:val="172B15A5"/>
    <w:rsid w:val="178B0B4D"/>
    <w:rsid w:val="17AE7B7C"/>
    <w:rsid w:val="18891BE5"/>
    <w:rsid w:val="18C4408C"/>
    <w:rsid w:val="19033124"/>
    <w:rsid w:val="190C3624"/>
    <w:rsid w:val="192B61EE"/>
    <w:rsid w:val="19FC3902"/>
    <w:rsid w:val="1B4F2E04"/>
    <w:rsid w:val="1B7F05AA"/>
    <w:rsid w:val="1D5C422C"/>
    <w:rsid w:val="1D72553F"/>
    <w:rsid w:val="1DB61295"/>
    <w:rsid w:val="1E837BE2"/>
    <w:rsid w:val="1FF75154"/>
    <w:rsid w:val="21272772"/>
    <w:rsid w:val="217D10FE"/>
    <w:rsid w:val="218C3C37"/>
    <w:rsid w:val="21DC5F44"/>
    <w:rsid w:val="21F55D64"/>
    <w:rsid w:val="22ED4EA9"/>
    <w:rsid w:val="2311372E"/>
    <w:rsid w:val="23313175"/>
    <w:rsid w:val="253A0CB4"/>
    <w:rsid w:val="253F3B36"/>
    <w:rsid w:val="255A0D1D"/>
    <w:rsid w:val="258E2521"/>
    <w:rsid w:val="25BC78D5"/>
    <w:rsid w:val="25C95136"/>
    <w:rsid w:val="25DF25F3"/>
    <w:rsid w:val="2653352F"/>
    <w:rsid w:val="268B68FD"/>
    <w:rsid w:val="26F5334E"/>
    <w:rsid w:val="27264053"/>
    <w:rsid w:val="273F71A1"/>
    <w:rsid w:val="299E3F8A"/>
    <w:rsid w:val="2ABE6C52"/>
    <w:rsid w:val="2ABF7B59"/>
    <w:rsid w:val="2B1B574F"/>
    <w:rsid w:val="2BAE55E1"/>
    <w:rsid w:val="2C151E25"/>
    <w:rsid w:val="2EDC2122"/>
    <w:rsid w:val="2F4F1C42"/>
    <w:rsid w:val="2FCB0EFA"/>
    <w:rsid w:val="306127E8"/>
    <w:rsid w:val="315E520F"/>
    <w:rsid w:val="319D2E0A"/>
    <w:rsid w:val="31F027DF"/>
    <w:rsid w:val="33DE5E56"/>
    <w:rsid w:val="34682BF9"/>
    <w:rsid w:val="34FC34CD"/>
    <w:rsid w:val="36913EB9"/>
    <w:rsid w:val="36E43987"/>
    <w:rsid w:val="37F326F9"/>
    <w:rsid w:val="38263F63"/>
    <w:rsid w:val="38277C4F"/>
    <w:rsid w:val="387554D3"/>
    <w:rsid w:val="3885080A"/>
    <w:rsid w:val="38A038DB"/>
    <w:rsid w:val="38AA0169"/>
    <w:rsid w:val="39E010B6"/>
    <w:rsid w:val="3A7C338E"/>
    <w:rsid w:val="3B7F12E7"/>
    <w:rsid w:val="3BD561D8"/>
    <w:rsid w:val="3BE31C32"/>
    <w:rsid w:val="3C752CAA"/>
    <w:rsid w:val="3C93695A"/>
    <w:rsid w:val="3ED34384"/>
    <w:rsid w:val="3F3A2108"/>
    <w:rsid w:val="402D6EED"/>
    <w:rsid w:val="40572BA6"/>
    <w:rsid w:val="40575782"/>
    <w:rsid w:val="41A229C0"/>
    <w:rsid w:val="421B5540"/>
    <w:rsid w:val="427F40C3"/>
    <w:rsid w:val="440B0F36"/>
    <w:rsid w:val="44724F1D"/>
    <w:rsid w:val="448E1E9E"/>
    <w:rsid w:val="44D90FC8"/>
    <w:rsid w:val="44DD285F"/>
    <w:rsid w:val="45982D3F"/>
    <w:rsid w:val="466B78DE"/>
    <w:rsid w:val="47755220"/>
    <w:rsid w:val="47B61984"/>
    <w:rsid w:val="48224C4E"/>
    <w:rsid w:val="4A212B31"/>
    <w:rsid w:val="4A475B7C"/>
    <w:rsid w:val="4A892E1A"/>
    <w:rsid w:val="4BA75289"/>
    <w:rsid w:val="4CA501B4"/>
    <w:rsid w:val="4CEB6606"/>
    <w:rsid w:val="4DE56289"/>
    <w:rsid w:val="4EF2504D"/>
    <w:rsid w:val="4FC5637B"/>
    <w:rsid w:val="4FE74116"/>
    <w:rsid w:val="512637BE"/>
    <w:rsid w:val="51292B01"/>
    <w:rsid w:val="512C578B"/>
    <w:rsid w:val="52C95134"/>
    <w:rsid w:val="53EA6F9A"/>
    <w:rsid w:val="53F070C1"/>
    <w:rsid w:val="545D2BA8"/>
    <w:rsid w:val="547C7626"/>
    <w:rsid w:val="54A934E9"/>
    <w:rsid w:val="55B4202C"/>
    <w:rsid w:val="5A0B65E0"/>
    <w:rsid w:val="5A6C32D7"/>
    <w:rsid w:val="5C5D662E"/>
    <w:rsid w:val="5D53233E"/>
    <w:rsid w:val="5E032063"/>
    <w:rsid w:val="5E3C4F06"/>
    <w:rsid w:val="5EE34F16"/>
    <w:rsid w:val="5EF55435"/>
    <w:rsid w:val="5F245E28"/>
    <w:rsid w:val="5FBE6E63"/>
    <w:rsid w:val="60507E6D"/>
    <w:rsid w:val="61B805F3"/>
    <w:rsid w:val="61F0707C"/>
    <w:rsid w:val="6227137B"/>
    <w:rsid w:val="64082F38"/>
    <w:rsid w:val="643816EF"/>
    <w:rsid w:val="6442112C"/>
    <w:rsid w:val="646D6FF1"/>
    <w:rsid w:val="64E400F0"/>
    <w:rsid w:val="651D381A"/>
    <w:rsid w:val="655855F6"/>
    <w:rsid w:val="65C620D8"/>
    <w:rsid w:val="668F0881"/>
    <w:rsid w:val="66EE5EB2"/>
    <w:rsid w:val="67501472"/>
    <w:rsid w:val="6770270C"/>
    <w:rsid w:val="67E57609"/>
    <w:rsid w:val="68136DF9"/>
    <w:rsid w:val="68467009"/>
    <w:rsid w:val="685A4CFC"/>
    <w:rsid w:val="68835C7D"/>
    <w:rsid w:val="68843869"/>
    <w:rsid w:val="68B056ED"/>
    <w:rsid w:val="68D74AB5"/>
    <w:rsid w:val="694D2A94"/>
    <w:rsid w:val="69957377"/>
    <w:rsid w:val="6A2A1BFB"/>
    <w:rsid w:val="6B230E25"/>
    <w:rsid w:val="6BBD35E1"/>
    <w:rsid w:val="6D186743"/>
    <w:rsid w:val="6D912D15"/>
    <w:rsid w:val="6DB773DA"/>
    <w:rsid w:val="6E89620B"/>
    <w:rsid w:val="6F3D4C39"/>
    <w:rsid w:val="6F7A7829"/>
    <w:rsid w:val="6F8945E5"/>
    <w:rsid w:val="6FE07353"/>
    <w:rsid w:val="7000610B"/>
    <w:rsid w:val="701647AB"/>
    <w:rsid w:val="71E9466D"/>
    <w:rsid w:val="728F5634"/>
    <w:rsid w:val="72DA7BC8"/>
    <w:rsid w:val="72ED2A78"/>
    <w:rsid w:val="732F74F2"/>
    <w:rsid w:val="733629F2"/>
    <w:rsid w:val="73510555"/>
    <w:rsid w:val="736B747C"/>
    <w:rsid w:val="736F3978"/>
    <w:rsid w:val="739F626B"/>
    <w:rsid w:val="7541042C"/>
    <w:rsid w:val="755D5E57"/>
    <w:rsid w:val="758B55DE"/>
    <w:rsid w:val="75D904B6"/>
    <w:rsid w:val="7733395D"/>
    <w:rsid w:val="77E058FB"/>
    <w:rsid w:val="78071F72"/>
    <w:rsid w:val="78774C15"/>
    <w:rsid w:val="78827AE1"/>
    <w:rsid w:val="799465E1"/>
    <w:rsid w:val="79D35A65"/>
    <w:rsid w:val="79DF4049"/>
    <w:rsid w:val="7A102ABD"/>
    <w:rsid w:val="7A2F2424"/>
    <w:rsid w:val="7B84483F"/>
    <w:rsid w:val="7C1164A2"/>
    <w:rsid w:val="7C5B2870"/>
    <w:rsid w:val="7CFC2916"/>
    <w:rsid w:val="7D876979"/>
    <w:rsid w:val="7DCB2B8A"/>
    <w:rsid w:val="7DDD21DB"/>
    <w:rsid w:val="7DE704AF"/>
    <w:rsid w:val="7EAD531F"/>
    <w:rsid w:val="7ED27CCA"/>
    <w:rsid w:val="7F25430C"/>
    <w:rsid w:val="7F742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24</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WEN.WU5</cp:lastModifiedBy>
  <dcterms:modified xsi:type="dcterms:W3CDTF">2022-09-29T10:55:36Z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